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bookmarkStart w:id="0" w:name="_GoBack"/>
      <w:bookmarkEnd w:id="0"/>
      <w:r>
        <w:rPr>
          <w:rFonts w:hint="default" w:ascii="Century" w:hAnsi="Century"/>
          <w:color w:val="000000" w:themeColor="text1"/>
          <w:spacing w:val="0"/>
          <w:kern w:val="2"/>
        </w:rPr>
        <w:t>様式第６</w:t>
      </w:r>
    </w:p>
    <w:p>
      <w:pPr>
        <w:pStyle w:val="0"/>
        <w:autoSpaceDE w:val="1"/>
        <w:autoSpaceDN w:val="1"/>
        <w:spacing w:line="281" w:lineRule="exact"/>
        <w:jc w:val="center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承　継　届　出　書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年　　月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日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北海道知事　殿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ind w:left="121" w:firstLine="1890" w:firstLineChars="900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氏名又は名称及び住所並びに</w:t>
      </w:r>
    </w:p>
    <w:p>
      <w:pPr>
        <w:pStyle w:val="0"/>
        <w:autoSpaceDE w:val="1"/>
        <w:autoSpaceDN w:val="1"/>
        <w:spacing w:line="281" w:lineRule="exact"/>
        <w:ind w:left="121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届出者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法人にあつてはその代表者の</w:t>
      </w:r>
    </w:p>
    <w:p>
      <w:pPr>
        <w:pStyle w:val="0"/>
        <w:autoSpaceDE w:val="1"/>
        <w:autoSpaceDN w:val="1"/>
        <w:spacing w:line="281" w:lineRule="exact"/>
        <w:ind w:left="121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氏名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</w:p>
    <w:p>
      <w:pPr>
        <w:pStyle w:val="0"/>
        <w:autoSpaceDE w:val="1"/>
        <w:autoSpaceDN w:val="1"/>
        <w:spacing w:line="281" w:lineRule="exact"/>
        <w:ind w:left="121"/>
        <w:jc w:val="distribute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>ばい煙発生施設（揮発性有機化合物排出施設、一般粉じん発生施設、特定粉じん発生</w:t>
      </w:r>
    </w:p>
    <w:p>
      <w:pPr>
        <w:pStyle w:val="0"/>
        <w:autoSpaceDE w:val="1"/>
        <w:autoSpaceDN w:val="1"/>
        <w:spacing w:line="281" w:lineRule="exact"/>
        <w:ind w:left="121"/>
        <w:rPr>
          <w:rFonts w:hint="default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-4"/>
          <w:kern w:val="2"/>
        </w:rPr>
        <w:t>施設、水銀排出施設）に係る届出者の地位を承継したので</w:t>
      </w:r>
      <w:r>
        <w:rPr>
          <w:rFonts w:hint="eastAsia"/>
          <w:color w:val="000000" w:themeColor="text1"/>
          <w:spacing w:val="-4"/>
          <w:kern w:val="2"/>
        </w:rPr>
        <w:t>、大気汚染防止法第</w:t>
      </w:r>
      <w:r>
        <w:rPr>
          <w:rFonts w:hint="default"/>
          <w:color w:val="000000" w:themeColor="text1"/>
          <w:spacing w:val="-4"/>
          <w:kern w:val="2"/>
        </w:rPr>
        <w:t>12</w:t>
      </w:r>
      <w:r>
        <w:rPr>
          <w:rFonts w:hint="eastAsia"/>
          <w:color w:val="000000" w:themeColor="text1"/>
          <w:spacing w:val="-4"/>
          <w:kern w:val="2"/>
        </w:rPr>
        <w:t>条第３</w:t>
      </w:r>
      <w:r>
        <w:rPr>
          <w:rFonts w:hint="eastAsia"/>
          <w:color w:val="000000" w:themeColor="text1"/>
          <w:spacing w:val="9"/>
          <w:fitText w:val="9625" w:id="1"/>
        </w:rPr>
        <w:t>項（第</w:t>
      </w:r>
      <w:r>
        <w:rPr>
          <w:rFonts w:hint="default"/>
          <w:color w:val="000000" w:themeColor="text1"/>
          <w:spacing w:val="9"/>
          <w:fitText w:val="9625" w:id="1"/>
        </w:rPr>
        <w:t>17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13</w:t>
      </w:r>
      <w:r>
        <w:rPr>
          <w:rFonts w:hint="eastAsia"/>
          <w:color w:val="000000" w:themeColor="text1"/>
          <w:spacing w:val="9"/>
          <w:fitText w:val="9625" w:id="1"/>
        </w:rPr>
        <w:t>第２項、第</w:t>
      </w:r>
      <w:r>
        <w:rPr>
          <w:rFonts w:hint="default"/>
          <w:color w:val="000000" w:themeColor="text1"/>
          <w:spacing w:val="9"/>
          <w:fitText w:val="9625" w:id="1"/>
        </w:rPr>
        <w:t>18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13</w:t>
      </w:r>
      <w:r>
        <w:rPr>
          <w:rFonts w:hint="eastAsia"/>
          <w:color w:val="000000" w:themeColor="text1"/>
          <w:spacing w:val="9"/>
          <w:fitText w:val="9625" w:id="1"/>
        </w:rPr>
        <w:t>第２項及び第</w:t>
      </w:r>
      <w:r>
        <w:rPr>
          <w:rFonts w:hint="default"/>
          <w:color w:val="000000" w:themeColor="text1"/>
          <w:spacing w:val="9"/>
          <w:fitText w:val="9625" w:id="1"/>
        </w:rPr>
        <w:t>18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36</w:t>
      </w:r>
      <w:r>
        <w:rPr>
          <w:rFonts w:hint="eastAsia"/>
          <w:color w:val="000000" w:themeColor="text1"/>
          <w:spacing w:val="9"/>
          <w:fitText w:val="9625" w:id="1"/>
        </w:rPr>
        <w:t>第２項において準用する場</w:t>
      </w:r>
      <w:r>
        <w:rPr>
          <w:rFonts w:hint="eastAsia"/>
          <w:color w:val="000000" w:themeColor="text1"/>
          <w:spacing w:val="33"/>
          <w:fitText w:val="9625" w:id="1"/>
        </w:rPr>
        <w:t>合</w:t>
      </w:r>
    </w:p>
    <w:p>
      <w:pPr>
        <w:pStyle w:val="0"/>
        <w:suppressAutoHyphens w:val="1"/>
        <w:wordWrap w:val="0"/>
        <w:autoSpaceDE w:val="1"/>
        <w:autoSpaceDN w:val="1"/>
        <w:spacing w:line="240" w:lineRule="auto"/>
        <w:ind w:firstLine="105" w:firstLineChars="50"/>
        <w:jc w:val="left"/>
        <w:textAlignment w:val="baseline"/>
        <w:rPr>
          <w:rFonts w:hint="default"/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>を含む。）の規定により、次のとおり届け出ます。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03"/>
        <w:gridCol w:w="3508"/>
        <w:gridCol w:w="1672"/>
        <w:gridCol w:w="1687"/>
        <w:gridCol w:w="1687"/>
      </w:tblGrid>
      <w:tr>
        <w:trPr>
          <w:trHeight w:val="1526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20320</wp:posOffset>
                      </wp:positionV>
                      <wp:extent cx="2088515" cy="846455"/>
                      <wp:effectExtent l="635" t="635" r="29845" b="10795"/>
                      <wp:wrapNone/>
                      <wp:docPr id="1026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8515" cy="84645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top:0pt;mso-wrap-distance-right:9pt;mso-wrap-distance-left:9pt;mso-wrap-distance-bottom:0pt;margin-top:1.6pt;margin-left:3.4pt;mso-position-horizontal-relative:text;mso-position-vertical-relative:text;position:absolute;height:66.650000000000006pt;width:164.45pt;z-index:2;" o:spid="_x0000_s1026" o:allowincell="t" o:allowoverlap="t" filled="f" stroked="t" strokecolor="#000000" strokeweight="0.75pt" o:spt="185" type="#_x0000_t185" adj="137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41"/>
                <w:fitText w:val="3172" w:id="2"/>
              </w:rPr>
              <w:t>ばい煙発生施</w:t>
            </w:r>
            <w:r>
              <w:rPr>
                <w:rFonts w:hint="eastAsia"/>
                <w:color w:val="000000" w:themeColor="text1"/>
                <w:spacing w:val="5"/>
                <w:fitText w:val="3172" w:id="2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3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3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一般粉じん発生施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の別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5"/>
              </w:rPr>
              <w:t>特定粉じん発生施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6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6"/>
              </w:rPr>
              <w:t>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7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50" w:id="7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8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50" w:id="8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施設の種類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15"/>
                <w:fitText w:val="1250" w:id="9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50" w:id="9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施設の設置場所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承継の年月日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righ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年　月　日</w:t>
            </w: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被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継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者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氏名又は名称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60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住所</w:t>
            </w:r>
          </w:p>
        </w:tc>
        <w:tc>
          <w:tcPr>
            <w:tcW w:w="167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承継の理由</w:t>
            </w:r>
          </w:p>
        </w:tc>
        <w:tc>
          <w:tcPr>
            <w:tcW w:w="167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spacing w:line="240" w:lineRule="auto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　１　※印の欄には、記載しないこと。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用紙の大きさは、日本産業規格Ａ４とすること。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ばい煙発生施設、揮発性有機化合物排出施設、一般粉じん発生施設、特定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粉じん発生施設又は水銀排出施設の別の欄は、該当するもの全てを記載する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こと。</w:t>
      </w:r>
    </w:p>
    <w:p>
      <w:pPr>
        <w:pStyle w:val="0"/>
        <w:widowControl w:val="1"/>
        <w:autoSpaceDE w:val="1"/>
        <w:autoSpaceDN w:val="1"/>
        <w:spacing w:line="240" w:lineRule="auto"/>
        <w:jc w:val="left"/>
        <w:rPr>
          <w:rFonts w:hint="default"/>
          <w:color w:val="000000" w:themeColor="text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textDirection w:val="lrTb"/>
      <w:docGrid w:linePitch="286" w:charSpace="6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pacing w:val="15"/>
      <w:sz w:val="21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15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22</Words>
  <Characters>1207</Characters>
  <Application>JUST Note</Application>
  <Lines>1475</Lines>
  <Paragraphs>105</Paragraphs>
  <Company>ＨＢＡ</Company>
  <CharactersWithSpaces>2009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須藤＿勇大</dc:creator>
  <cp:lastModifiedBy>須藤＿勇大</cp:lastModifiedBy>
  <cp:lastPrinted>2018-01-16T01:30:00Z</cp:lastPrinted>
  <dcterms:created xsi:type="dcterms:W3CDTF">2021-05-31T01:43:00Z</dcterms:created>
  <dcterms:modified xsi:type="dcterms:W3CDTF">2021-05-31T02:44:29Z</dcterms:modified>
  <cp:revision>4</cp:revision>
</cp:coreProperties>
</file>